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b/>
          <w:sz w:val="24"/>
          <w:szCs w:val="24"/>
        </w:rPr>
      </w:pPr>
      <w:r>
        <w:rPr>
          <w:b/>
          <w:sz w:val="24"/>
          <w:szCs w:val="24"/>
        </w:rPr>
        <w:t>UNICOI WATER UTILITY DISTRICT</w:t>
      </w:r>
    </w:p>
    <w:p>
      <w:pPr>
        <w:pStyle w:val="Normal"/>
        <w:spacing w:before="0" w:after="0"/>
        <w:jc w:val="center"/>
        <w:rPr>
          <w:b/>
          <w:sz w:val="24"/>
          <w:szCs w:val="24"/>
        </w:rPr>
      </w:pPr>
      <w:r>
        <w:rPr>
          <w:b/>
          <w:sz w:val="24"/>
          <w:szCs w:val="24"/>
        </w:rPr>
        <w:t>WATER RATE STRUCTURE</w:t>
      </w:r>
    </w:p>
    <w:p>
      <w:pPr>
        <w:pStyle w:val="Normal"/>
        <w:spacing w:before="0" w:after="0"/>
        <w:jc w:val="center"/>
        <w:rPr>
          <w:b/>
        </w:rPr>
      </w:pPr>
      <w:r>
        <w:rPr>
          <w:b/>
          <w:sz w:val="20"/>
          <w:szCs w:val="20"/>
        </w:rPr>
        <w:t>EFFECTIVE October 1, 202</w:t>
      </w:r>
      <w:r>
        <w:rPr>
          <w:b/>
          <w:sz w:val="20"/>
          <w:szCs w:val="20"/>
        </w:rPr>
        <w:t>5</w:t>
      </w:r>
    </w:p>
    <w:p>
      <w:pPr>
        <w:pStyle w:val="Normal"/>
        <w:spacing w:before="0" w:after="0"/>
        <w:rPr>
          <w:b/>
          <w:u w:val="single"/>
        </w:rPr>
      </w:pPr>
      <w:r>
        <w:rPr>
          <w:b/>
          <w:u w:val="single"/>
        </w:rPr>
      </w:r>
    </w:p>
    <w:p>
      <w:pPr>
        <w:pStyle w:val="Normal"/>
        <w:spacing w:before="0" w:after="0"/>
        <w:rPr>
          <w:b/>
          <w:u w:val="single"/>
        </w:rPr>
      </w:pPr>
      <w:r>
        <w:rPr>
          <w:b/>
          <w:u w:val="single"/>
        </w:rPr>
        <w:t xml:space="preserve"> </w:t>
      </w:r>
    </w:p>
    <w:p>
      <w:pPr>
        <w:pStyle w:val="Normal"/>
        <w:spacing w:before="0" w:after="0"/>
        <w:rPr>
          <w:b/>
          <w:u w:val="single"/>
        </w:rPr>
      </w:pPr>
      <w:r>
        <w:rPr>
          <w:b/>
          <w:u w:val="single"/>
        </w:rPr>
        <w:t>CONNECTION, USAGE AND OTHER FEES:</w:t>
      </w:r>
    </w:p>
    <w:p>
      <w:pPr>
        <w:pStyle w:val="Normal"/>
        <w:spacing w:before="0" w:after="0"/>
        <w:rPr>
          <w:b/>
          <w:u w:val="single"/>
        </w:rPr>
      </w:pPr>
      <w:r>
        <w:rPr>
          <w:b/>
          <w:u w:val="single"/>
        </w:rPr>
      </w:r>
    </w:p>
    <w:p>
      <w:pPr>
        <w:pStyle w:val="Normal"/>
        <w:spacing w:before="0" w:after="0"/>
        <w:rPr>
          <w:b/>
        </w:rPr>
      </w:pPr>
      <w:r>
        <w:rPr>
          <w:b/>
        </w:rPr>
      </w:r>
    </w:p>
    <w:p>
      <w:pPr>
        <w:pStyle w:val="Normal"/>
        <w:spacing w:before="0" w:after="0"/>
        <w:rPr/>
      </w:pPr>
      <w:r>
        <w:rPr/>
        <w:t xml:space="preserve"> </w:t>
      </w:r>
      <w:r>
        <w:rPr/>
        <w:t>Customer Charge (up to 1500 gallons)</w:t>
        <w:tab/>
        <w:tab/>
        <w:tab/>
        <w:tab/>
        <w:tab/>
        <w:t>$        3</w:t>
      </w:r>
      <w:r>
        <w:rPr/>
        <w:t>5.00</w:t>
      </w:r>
      <w:r>
        <w:rPr/>
        <w:t xml:space="preserve"> </w:t>
      </w:r>
      <w:r>
        <w:rPr>
          <w:sz w:val="20"/>
          <w:szCs w:val="20"/>
        </w:rPr>
        <w:t>(Minimum)</w:t>
      </w:r>
    </w:p>
    <w:p>
      <w:pPr>
        <w:pStyle w:val="Normal"/>
        <w:spacing w:before="0" w:after="0"/>
        <w:rPr>
          <w:sz w:val="20"/>
          <w:szCs w:val="20"/>
        </w:rPr>
      </w:pPr>
      <w:r>
        <w:rPr/>
        <w:t>Usage Charge over 1500 gallons</w:t>
        <w:tab/>
        <w:tab/>
        <w:tab/>
        <w:tab/>
        <w:tab/>
        <w:tab/>
        <w:t>$        7.</w:t>
      </w:r>
      <w:r>
        <w:rPr/>
        <w:t xml:space="preserve">75 </w:t>
      </w:r>
      <w:r>
        <w:rPr>
          <w:sz w:val="20"/>
          <w:szCs w:val="20"/>
        </w:rPr>
        <w:t>per 1000 gallons</w:t>
      </w:r>
    </w:p>
    <w:p>
      <w:pPr>
        <w:pStyle w:val="Normal"/>
        <w:spacing w:before="0" w:after="0"/>
        <w:rPr/>
      </w:pPr>
      <w:r>
        <w:rPr/>
        <w:t xml:space="preserve">Tap Fee for 5/8” Meter </w:t>
      </w:r>
      <w:r>
        <w:rPr>
          <w:sz w:val="16"/>
          <w:szCs w:val="16"/>
        </w:rPr>
        <w:t>(does not include boring under roadway)</w:t>
      </w:r>
      <w:r>
        <w:rPr/>
        <w:tab/>
        <w:tab/>
        <w:tab/>
        <w:t xml:space="preserve"> </w:t>
        <w:tab/>
        <w:t xml:space="preserve">$        2,000.00 </w:t>
      </w:r>
    </w:p>
    <w:p>
      <w:pPr>
        <w:pStyle w:val="Normal"/>
        <w:spacing w:before="0" w:after="0"/>
        <w:rPr/>
      </w:pPr>
      <w:r>
        <w:rPr/>
        <w:t xml:space="preserve">Tap Fee for 1” Meter </w:t>
      </w:r>
      <w:r>
        <w:rPr>
          <w:sz w:val="16"/>
          <w:szCs w:val="16"/>
        </w:rPr>
        <w:t>(does not include boring under roadway)</w:t>
      </w:r>
      <w:r>
        <w:rPr/>
        <w:tab/>
        <w:tab/>
        <w:tab/>
        <w:t xml:space="preserve">               $        3,000.00</w:t>
      </w:r>
    </w:p>
    <w:p>
      <w:pPr>
        <w:pStyle w:val="Normal"/>
        <w:spacing w:before="0" w:after="0"/>
        <w:rPr/>
      </w:pPr>
      <w:r>
        <w:rPr/>
        <w:t>Tap Fee for 2” Meter (</w:t>
      </w:r>
      <w:r>
        <w:rPr>
          <w:sz w:val="16"/>
          <w:szCs w:val="16"/>
        </w:rPr>
        <w:t xml:space="preserve">does not include boring under roadway)                                                                    </w:t>
      </w:r>
      <w:r>
        <w:rPr/>
        <w:t>$        5,500.00</w:t>
      </w:r>
    </w:p>
    <w:p>
      <w:pPr>
        <w:pStyle w:val="Normal"/>
        <w:spacing w:before="0" w:after="0"/>
        <w:rPr>
          <w:sz w:val="16"/>
          <w:szCs w:val="16"/>
        </w:rPr>
      </w:pPr>
      <w:r>
        <w:rPr/>
        <w:t>Meter Deposit Charge for 5/8” Meter: Owner</w:t>
        <w:tab/>
        <w:tab/>
        <w:tab/>
        <w:tab/>
        <w:t xml:space="preserve">               $     50.00 (refundable)</w:t>
      </w:r>
    </w:p>
    <w:p>
      <w:pPr>
        <w:pStyle w:val="Normal"/>
        <w:spacing w:before="0" w:after="0"/>
        <w:rPr>
          <w:sz w:val="16"/>
          <w:szCs w:val="16"/>
        </w:rPr>
      </w:pPr>
      <w:r>
        <w:rPr/>
        <w:t>Meter Deposit Charge for 5/8” Meter: Renter</w:t>
        <w:tab/>
        <w:tab/>
        <w:tab/>
        <w:tab/>
        <w:tab/>
        <w:t>$   100.00 (refundable)</w:t>
      </w:r>
    </w:p>
    <w:p>
      <w:pPr>
        <w:pStyle w:val="Normal"/>
        <w:spacing w:before="0" w:after="0"/>
        <w:rPr>
          <w:sz w:val="16"/>
          <w:szCs w:val="16"/>
        </w:rPr>
      </w:pPr>
      <w:r>
        <w:rPr/>
        <w:t>Meter Deposit Charge for 1” or 2” Meter</w:t>
        <w:tab/>
        <w:tab/>
        <w:tab/>
        <w:tab/>
        <w:tab/>
        <w:t>$     65.00 (refundable)</w:t>
      </w:r>
    </w:p>
    <w:p>
      <w:pPr>
        <w:pStyle w:val="Normal"/>
        <w:spacing w:before="0" w:after="0"/>
        <w:rPr/>
      </w:pPr>
      <w:r>
        <w:rPr/>
        <w:t xml:space="preserve">Service Charge In Addition to Meter Deposits                                                              $    35.00 (non-refundable)                                            </w:t>
      </w:r>
    </w:p>
    <w:p>
      <w:pPr>
        <w:pStyle w:val="Normal"/>
        <w:spacing w:before="0" w:after="0"/>
        <w:rPr>
          <w:sz w:val="16"/>
          <w:szCs w:val="16"/>
        </w:rPr>
      </w:pPr>
      <w:r>
        <w:rPr/>
        <w:t>Renter Transfer Fee Within Same Trailer Park or Apartment Complex</w:t>
        <w:tab/>
        <w:t xml:space="preserve">$    50.00 </w:t>
      </w:r>
    </w:p>
    <w:p>
      <w:pPr>
        <w:pStyle w:val="Normal"/>
        <w:spacing w:before="0" w:after="0"/>
        <w:rPr/>
      </w:pPr>
      <w:r>
        <w:rPr/>
        <w:t>Water Turn-On after being Cut-Off for Non-Payment</w:t>
        <w:tab/>
        <w:tab/>
        <w:tab/>
        <w:tab/>
        <w:t>$    75.00</w:t>
      </w:r>
    </w:p>
    <w:p>
      <w:pPr>
        <w:pStyle w:val="Normal"/>
        <w:spacing w:before="0" w:after="0"/>
        <w:rPr/>
      </w:pPr>
      <w:r>
        <w:rPr/>
        <w:t>Meter Testing Charge</w:t>
        <w:tab/>
        <w:tab/>
        <w:tab/>
        <w:tab/>
        <w:tab/>
        <w:tab/>
        <w:tab/>
        <w:tab/>
        <w:t>$    50.00</w:t>
      </w:r>
    </w:p>
    <w:p>
      <w:pPr>
        <w:pStyle w:val="Normal"/>
        <w:spacing w:before="0" w:after="0"/>
        <w:rPr/>
      </w:pPr>
      <w:r>
        <w:rPr/>
        <w:t>Meter Reread (No charge if read wrong)</w:t>
        <w:tab/>
        <w:tab/>
        <w:tab/>
        <w:tab/>
        <w:tab/>
        <w:t>$    15.00</w:t>
      </w:r>
    </w:p>
    <w:p>
      <w:pPr>
        <w:pStyle w:val="Normal"/>
        <w:spacing w:before="0" w:after="0"/>
        <w:rPr>
          <w:sz w:val="16"/>
          <w:szCs w:val="16"/>
        </w:rPr>
      </w:pPr>
      <w:r>
        <w:rPr/>
        <w:t xml:space="preserve">Boring Under Roadway Non-State Roads </w:t>
        <w:tab/>
        <w:tab/>
        <w:tab/>
        <w:tab/>
        <w:tab/>
        <w:t xml:space="preserve">$250.00 </w:t>
      </w:r>
      <w:r>
        <w:rPr>
          <w:sz w:val="16"/>
          <w:szCs w:val="16"/>
        </w:rPr>
        <w:t xml:space="preserve">First 2 hrs, </w:t>
      </w:r>
      <w:r>
        <w:rPr>
          <w:sz w:val="20"/>
          <w:szCs w:val="20"/>
        </w:rPr>
        <w:t xml:space="preserve">$50.00 </w:t>
      </w:r>
      <w:r>
        <w:rPr>
          <w:sz w:val="16"/>
          <w:szCs w:val="16"/>
        </w:rPr>
        <w:t xml:space="preserve">per hr. after 2 hrs.                                                                </w:t>
      </w:r>
      <w:r>
        <w:rPr/>
        <w:tab/>
        <w:tab/>
        <w:tab/>
        <w:tab/>
        <w:tab/>
        <w:tab/>
        <w:tab/>
        <w:tab/>
      </w:r>
      <w:r>
        <w:rPr>
          <w:sz w:val="16"/>
          <w:szCs w:val="16"/>
        </w:rPr>
        <w:t xml:space="preserve">                                                                                    </w:t>
      </w:r>
    </w:p>
    <w:p>
      <w:pPr>
        <w:pStyle w:val="Normal"/>
        <w:spacing w:before="0" w:after="0"/>
        <w:rPr>
          <w:sz w:val="16"/>
          <w:szCs w:val="16"/>
        </w:rPr>
      </w:pPr>
      <w:r>
        <w:rPr/>
        <w:t>Fee for After Hours Water Turn On</w:t>
        <w:tab/>
        <w:tab/>
        <w:tab/>
        <w:tab/>
        <w:tab/>
        <w:tab/>
        <w:t xml:space="preserve">$75.00 </w:t>
      </w:r>
      <w:r>
        <w:rPr>
          <w:sz w:val="18"/>
          <w:szCs w:val="18"/>
        </w:rPr>
        <w:t>+$35.00 travel &amp; overtime</w:t>
      </w:r>
    </w:p>
    <w:p>
      <w:pPr>
        <w:pStyle w:val="Normal"/>
        <w:spacing w:before="0" w:after="0"/>
        <w:rPr/>
      </w:pPr>
      <w:r>
        <w:rPr/>
        <w:t>Tampering Fee</w:t>
        <w:tab/>
        <w:tab/>
        <w:tab/>
        <w:tab/>
        <w:tab/>
        <w:tab/>
        <w:tab/>
        <w:tab/>
        <w:tab/>
        <w:t>$750.00</w:t>
      </w:r>
    </w:p>
    <w:p>
      <w:pPr>
        <w:pStyle w:val="Normal"/>
        <w:spacing w:before="0" w:after="0"/>
        <w:rPr/>
      </w:pPr>
      <w:r>
        <w:rPr/>
        <w:t>Construction Connection Fee</w:t>
        <w:tab/>
        <w:tab/>
        <w:tab/>
        <w:tab/>
        <w:tab/>
        <w:tab/>
        <w:tab/>
        <w:t>$200.00 per inch</w:t>
      </w:r>
    </w:p>
    <w:p>
      <w:pPr>
        <w:pStyle w:val="Normal"/>
        <w:spacing w:before="0" w:after="0"/>
        <w:rPr/>
      </w:pPr>
      <w:r>
        <w:rPr/>
      </w:r>
    </w:p>
    <w:p>
      <w:pPr>
        <w:pStyle w:val="Normal"/>
        <w:spacing w:before="0" w:after="0"/>
        <w:rPr>
          <w:sz w:val="20"/>
          <w:szCs w:val="20"/>
        </w:rPr>
      </w:pPr>
      <w:r>
        <w:rPr>
          <w:sz w:val="20"/>
          <w:szCs w:val="20"/>
        </w:rPr>
        <w:t xml:space="preserve">    </w:t>
      </w:r>
      <w:r>
        <w:rPr>
          <w:sz w:val="20"/>
          <w:szCs w:val="20"/>
        </w:rPr>
        <w:t xml:space="preserve">All Customers will be billed monthly for services rendered according to the above rate structure.  Water bills shall be paid at the Unicoi Water Utility office.  Failure to receive a bill will not release the customer from payment obligation.  Customers paying in person at the Utility office without the return portion of their bill will be assessed a $1 processing fee.  Payments made after the due date will be subject to a late payment fee of 10% of the unpaid portion, excluding other charges and sales tax.  </w:t>
      </w:r>
    </w:p>
    <w:p>
      <w:pPr>
        <w:pStyle w:val="Normal"/>
        <w:spacing w:before="0" w:after="0"/>
        <w:rPr>
          <w:sz w:val="20"/>
          <w:szCs w:val="20"/>
        </w:rPr>
      </w:pPr>
      <w:r>
        <w:rPr>
          <w:sz w:val="20"/>
          <w:szCs w:val="20"/>
        </w:rPr>
        <w:t xml:space="preserve"> </w:t>
      </w:r>
    </w:p>
    <w:p>
      <w:pPr>
        <w:pStyle w:val="Normal"/>
        <w:spacing w:before="0" w:after="0"/>
        <w:rPr>
          <w:sz w:val="20"/>
          <w:szCs w:val="20"/>
        </w:rPr>
      </w:pPr>
      <w:r>
        <w:rPr>
          <w:sz w:val="20"/>
          <w:szCs w:val="20"/>
        </w:rPr>
        <w:t xml:space="preserve">    </w:t>
      </w:r>
      <w:r>
        <w:rPr>
          <w:sz w:val="20"/>
          <w:szCs w:val="20"/>
        </w:rPr>
        <w:t xml:space="preserve">Landlords of rental property will be allowed a maximum of five (5) days water usage for cleaning.  Arrangements for such usage must be made with the Utility office.  Request for water usage to clean rental property more than five days must be approved by the Utility Manager and charges for such use will be assessed by the Manager per each occurrence.  </w:t>
      </w:r>
    </w:p>
    <w:p>
      <w:pPr>
        <w:pStyle w:val="Normal"/>
        <w:spacing w:before="0" w:after="0"/>
        <w:rPr>
          <w:sz w:val="20"/>
          <w:szCs w:val="20"/>
        </w:rPr>
      </w:pPr>
      <w:r>
        <w:rPr>
          <w:sz w:val="20"/>
          <w:szCs w:val="20"/>
        </w:rPr>
      </w:r>
    </w:p>
    <w:p>
      <w:pPr>
        <w:pStyle w:val="Normal"/>
        <w:spacing w:before="0" w:after="0"/>
        <w:rPr>
          <w:sz w:val="20"/>
          <w:szCs w:val="20"/>
        </w:rPr>
      </w:pPr>
      <w:r>
        <w:rPr>
          <w:sz w:val="20"/>
          <w:szCs w:val="20"/>
        </w:rPr>
        <w:t xml:space="preserve">    </w:t>
      </w:r>
      <w:r>
        <w:rPr>
          <w:sz w:val="20"/>
          <w:szCs w:val="20"/>
        </w:rPr>
        <w:t>The minimum time for a meter to be on Vacation status is 4 consecutive months.</w:t>
      </w:r>
    </w:p>
    <w:p>
      <w:pPr>
        <w:pStyle w:val="Normal"/>
        <w:spacing w:before="0" w:after="0"/>
        <w:rPr/>
      </w:pPr>
      <w:r>
        <w:rPr/>
      </w:r>
    </w:p>
    <w:p>
      <w:pPr>
        <w:pStyle w:val="Normal"/>
        <w:spacing w:before="0" w:after="0"/>
        <w:rPr>
          <w:sz w:val="20"/>
          <w:szCs w:val="20"/>
        </w:rPr>
      </w:pPr>
      <w:r>
        <w:rPr>
          <w:sz w:val="20"/>
          <w:szCs w:val="20"/>
        </w:rPr>
        <w:t xml:space="preserve">    </w:t>
      </w:r>
      <w:r>
        <w:rPr>
          <w:sz w:val="20"/>
          <w:szCs w:val="20"/>
        </w:rPr>
        <w:t xml:space="preserve">The Board of Commissioners of the Unicoi Water Utility District shall review this rate structure annually during the September Regular Business Meeting.   Services provided by the Utility shall be subject to the rules and regulations of the Unicoi Water Utility District.  </w:t>
      </w:r>
    </w:p>
    <w:p>
      <w:pPr>
        <w:pStyle w:val="Normal"/>
        <w:spacing w:before="0" w:after="0"/>
        <w:rPr>
          <w:sz w:val="20"/>
          <w:szCs w:val="20"/>
        </w:rPr>
      </w:pPr>
      <w:r>
        <w:rPr>
          <w:sz w:val="20"/>
          <w:szCs w:val="20"/>
        </w:rPr>
      </w:r>
    </w:p>
    <w:p>
      <w:pPr>
        <w:pStyle w:val="Normal"/>
        <w:spacing w:before="0" w:after="120"/>
        <w:jc w:val="end"/>
        <w:rPr/>
      </w:pPr>
      <w:r>
        <w:rPr/>
        <w:t xml:space="preserve">Commissioners:  </w:t>
        <w:tab/>
        <w:t>Chairman: _______________________________________</w:t>
      </w:r>
    </w:p>
    <w:p>
      <w:pPr>
        <w:pStyle w:val="Normal"/>
        <w:spacing w:before="0" w:after="120"/>
        <w:jc w:val="center"/>
        <w:rPr/>
      </w:pPr>
      <w:r>
        <w:rPr/>
        <w:t xml:space="preserve">                                                                                                             </w:t>
      </w:r>
      <w:r>
        <w:rPr/>
        <w:t>Secretary: __________________________________</w:t>
      </w:r>
    </w:p>
    <w:p>
      <w:pPr>
        <w:pStyle w:val="Normal"/>
        <w:spacing w:before="0" w:after="120"/>
        <w:rPr/>
      </w:pPr>
      <w:r>
        <w:rPr>
          <w:sz w:val="16"/>
          <w:szCs w:val="16"/>
        </w:rPr>
        <w:t xml:space="preserve">            </w:t>
      </w:r>
      <w:r>
        <w:rPr/>
        <w:t xml:space="preserve">                                                                                                             </w:t>
      </w:r>
      <w:r>
        <w:rPr/>
        <w:t>Treasurer:_________________________________</w:t>
      </w:r>
    </w:p>
    <w:p>
      <w:pPr>
        <w:pStyle w:val="Normal"/>
        <w:spacing w:before="0" w:after="120"/>
        <w:jc w:val="center"/>
        <w:rPr/>
      </w:pPr>
      <w:r>
        <w:rPr/>
        <w:t xml:space="preserve">                                                                                                              </w:t>
      </w:r>
      <w:r>
        <w:rPr/>
        <w:tab/>
        <w:tab/>
        <w:tab/>
        <w:t xml:space="preserve">                                                                                                           </w:t>
      </w:r>
    </w:p>
    <w:p>
      <w:pPr>
        <w:pStyle w:val="Normal"/>
        <w:spacing w:before="0" w:after="120"/>
        <w:jc w:val="end"/>
        <w:rPr/>
      </w:pPr>
      <w:r>
        <w:rPr/>
      </w:r>
    </w:p>
    <w:p>
      <w:pPr>
        <w:pStyle w:val="Normal"/>
        <w:spacing w:before="0" w:after="120"/>
        <w:jc w:val="end"/>
        <w:rPr/>
      </w:pPr>
      <w:r>
        <w:rPr/>
      </w:r>
    </w:p>
    <w:p>
      <w:pPr>
        <w:pStyle w:val="Normal"/>
        <w:spacing w:before="0" w:after="120"/>
        <w:rPr/>
      </w:pPr>
      <w:r>
        <w:rPr/>
      </w:r>
    </w:p>
    <w:sectPr>
      <w:type w:val="nextPage"/>
      <w:pgSz w:w="12240" w:h="15840"/>
      <w:pgMar w:left="1152" w:right="1152" w:gutter="0" w:header="0" w:top="1008"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n-US" w:eastAsia="en-US" w:bidi="en-US"/>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jc w:val="start"/>
    </w:pPr>
    <w:rPr>
      <w:rFonts w:ascii="Cambria" w:hAnsi="Cambria" w:eastAsia="Segoe UI" w:cs="Tahoma"/>
      <w:color w:val="auto"/>
      <w:kern w:val="0"/>
      <w:sz w:val="22"/>
      <w:szCs w:val="22"/>
      <w:lang w:val="en-US" w:eastAsia="en-US" w:bidi="en-US"/>
    </w:rPr>
  </w:style>
  <w:style w:type="paragraph" w:styleId="Heading1">
    <w:name w:val="heading 1"/>
    <w:basedOn w:val="Normal"/>
    <w:next w:val="Normal"/>
    <w:link w:val="Heading1Char"/>
    <w:qFormat/>
    <w:pPr>
      <w:numPr>
        <w:ilvl w:val="0"/>
        <w:numId w:val="0"/>
      </w:numPr>
      <w:spacing w:before="480" w:after="0"/>
      <w:contextualSpacing/>
      <w:outlineLvl w:val="0"/>
    </w:pPr>
    <w:rPr>
      <w:rFonts w:ascii="Calibri" w:hAnsi="Calibri" w:eastAsia="Segoe UI" w:cs="Tahoma"/>
      <w:b/>
      <w:bCs/>
      <w:sz w:val="28"/>
      <w:szCs w:val="28"/>
    </w:rPr>
  </w:style>
  <w:style w:type="paragraph" w:styleId="Heading2">
    <w:name w:val="heading 2"/>
    <w:basedOn w:val="Normal"/>
    <w:next w:val="Normal"/>
    <w:link w:val="Heading2Char"/>
    <w:qFormat/>
    <w:pPr>
      <w:numPr>
        <w:ilvl w:val="0"/>
        <w:numId w:val="0"/>
      </w:numPr>
      <w:spacing w:before="200" w:after="0"/>
      <w:outlineLvl w:val="1"/>
    </w:pPr>
    <w:rPr>
      <w:rFonts w:ascii="Calibri" w:hAnsi="Calibri" w:eastAsia="Segoe UI" w:cs="Tahoma"/>
      <w:b/>
      <w:bCs/>
      <w:sz w:val="26"/>
      <w:szCs w:val="26"/>
    </w:rPr>
  </w:style>
  <w:style w:type="paragraph" w:styleId="Heading3">
    <w:name w:val="heading 3"/>
    <w:basedOn w:val="Normal"/>
    <w:next w:val="Normal"/>
    <w:link w:val="Heading3Char"/>
    <w:qFormat/>
    <w:pPr>
      <w:numPr>
        <w:ilvl w:val="0"/>
        <w:numId w:val="0"/>
      </w:numPr>
      <w:spacing w:lineRule="auto" w:line="271" w:before="200" w:after="0"/>
      <w:outlineLvl w:val="2"/>
    </w:pPr>
    <w:rPr>
      <w:rFonts w:ascii="Calibri" w:hAnsi="Calibri" w:eastAsia="Segoe UI" w:cs="Tahoma"/>
      <w:b/>
      <w:bCs/>
    </w:rPr>
  </w:style>
  <w:style w:type="paragraph" w:styleId="Heading4">
    <w:name w:val="heading 4"/>
    <w:basedOn w:val="Normal"/>
    <w:next w:val="Normal"/>
    <w:link w:val="Heading4Char"/>
    <w:qFormat/>
    <w:pPr>
      <w:numPr>
        <w:ilvl w:val="0"/>
        <w:numId w:val="0"/>
      </w:numPr>
      <w:spacing w:before="200" w:after="0"/>
      <w:outlineLvl w:val="3"/>
    </w:pPr>
    <w:rPr>
      <w:rFonts w:ascii="Calibri" w:hAnsi="Calibri" w:eastAsia="Segoe UI" w:cs="Tahoma"/>
      <w:b/>
      <w:bCs/>
      <w:i/>
      <w:iCs/>
    </w:rPr>
  </w:style>
  <w:style w:type="paragraph" w:styleId="Heading5">
    <w:name w:val="heading 5"/>
    <w:basedOn w:val="Normal"/>
    <w:next w:val="Normal"/>
    <w:link w:val="Heading5Char"/>
    <w:qFormat/>
    <w:pPr>
      <w:numPr>
        <w:ilvl w:val="0"/>
        <w:numId w:val="0"/>
      </w:numPr>
      <w:spacing w:before="200" w:after="0"/>
      <w:outlineLvl w:val="4"/>
    </w:pPr>
    <w:rPr>
      <w:rFonts w:ascii="Calibri" w:hAnsi="Calibri" w:eastAsia="Segoe UI" w:cs="Tahoma"/>
      <w:b/>
      <w:bCs/>
      <w:color w:themeColor="dark1" w:themeTint="80" w:val="7F7F7F"/>
    </w:rPr>
  </w:style>
  <w:style w:type="paragraph" w:styleId="Heading6">
    <w:name w:val="heading 6"/>
    <w:basedOn w:val="Normal"/>
    <w:next w:val="Normal"/>
    <w:link w:val="Heading6Char"/>
    <w:qFormat/>
    <w:pPr>
      <w:numPr>
        <w:ilvl w:val="0"/>
        <w:numId w:val="0"/>
      </w:numPr>
      <w:spacing w:lineRule="auto" w:line="271" w:before="0" w:after="0"/>
      <w:outlineLvl w:val="5"/>
    </w:pPr>
    <w:rPr>
      <w:rFonts w:ascii="Calibri" w:hAnsi="Calibri" w:eastAsia="Segoe UI" w:cs="Tahoma"/>
      <w:b/>
      <w:bCs/>
      <w:i/>
      <w:iCs/>
      <w:color w:themeColor="dark1" w:themeTint="80" w:val="7F7F7F"/>
    </w:rPr>
  </w:style>
  <w:style w:type="paragraph" w:styleId="Heading7">
    <w:name w:val="heading 7"/>
    <w:basedOn w:val="Normal"/>
    <w:next w:val="Normal"/>
    <w:link w:val="Heading7Char"/>
    <w:qFormat/>
    <w:pPr>
      <w:numPr>
        <w:ilvl w:val="0"/>
        <w:numId w:val="0"/>
      </w:numPr>
      <w:spacing w:before="0" w:after="0"/>
      <w:outlineLvl w:val="6"/>
    </w:pPr>
    <w:rPr>
      <w:rFonts w:ascii="Calibri" w:hAnsi="Calibri" w:eastAsia="Segoe UI" w:cs="Tahoma"/>
      <w:i/>
      <w:iCs/>
    </w:rPr>
  </w:style>
  <w:style w:type="paragraph" w:styleId="Heading8">
    <w:name w:val="heading 8"/>
    <w:basedOn w:val="Normal"/>
    <w:next w:val="Normal"/>
    <w:link w:val="Heading8Char"/>
    <w:qFormat/>
    <w:pPr>
      <w:numPr>
        <w:ilvl w:val="0"/>
        <w:numId w:val="0"/>
      </w:numPr>
      <w:spacing w:before="0" w:after="0"/>
      <w:outlineLvl w:val="7"/>
    </w:pPr>
    <w:rPr>
      <w:rFonts w:ascii="Calibri" w:hAnsi="Calibri" w:eastAsia="Segoe UI" w:cs="Tahoma"/>
      <w:sz w:val="20"/>
      <w:szCs w:val="20"/>
    </w:rPr>
  </w:style>
  <w:style w:type="paragraph" w:styleId="Heading9">
    <w:name w:val="heading 9"/>
    <w:basedOn w:val="Normal"/>
    <w:next w:val="Normal"/>
    <w:link w:val="Heading9Char"/>
    <w:qFormat/>
    <w:pPr>
      <w:numPr>
        <w:ilvl w:val="0"/>
        <w:numId w:val="0"/>
      </w:numPr>
      <w:spacing w:before="0" w:after="0"/>
      <w:outlineLvl w:val="8"/>
    </w:pPr>
    <w:rPr>
      <w:rFonts w:ascii="Calibri" w:hAnsi="Calibri" w:eastAsia="Segoe UI" w:cs="Tahoma"/>
      <w:i/>
      <w:iCs/>
      <w:spacing w:val="5"/>
      <w:sz w:val="20"/>
      <w:szCs w:val="20"/>
    </w:rPr>
  </w:style>
  <w:style w:type="character" w:styleId="DefaultParagraphFont">
    <w:name w:val="Default Paragraph Font"/>
    <w:qFormat/>
    <w:rPr/>
  </w:style>
  <w:style w:type="character" w:styleId="Heading1Char">
    <w:name w:val="Heading 1 Char"/>
    <w:basedOn w:val="DefaultParagraphFont"/>
    <w:link w:val="Heading1"/>
    <w:qFormat/>
    <w:rPr>
      <w:rFonts w:ascii="Calibri" w:hAnsi="Calibri" w:eastAsia="Segoe UI" w:cs="Tahoma"/>
      <w:b/>
      <w:bCs/>
      <w:sz w:val="28"/>
      <w:szCs w:val="28"/>
    </w:rPr>
  </w:style>
  <w:style w:type="character" w:styleId="Heading2Char">
    <w:name w:val="Heading 2 Char"/>
    <w:basedOn w:val="DefaultParagraphFont"/>
    <w:link w:val="Heading2"/>
    <w:qFormat/>
    <w:rPr>
      <w:rFonts w:ascii="Calibri" w:hAnsi="Calibri" w:eastAsia="Segoe UI" w:cs="Tahoma"/>
      <w:b/>
      <w:bCs/>
      <w:sz w:val="26"/>
      <w:szCs w:val="26"/>
    </w:rPr>
  </w:style>
  <w:style w:type="character" w:styleId="Heading3Char">
    <w:name w:val="Heading 3 Char"/>
    <w:basedOn w:val="DefaultParagraphFont"/>
    <w:link w:val="Heading3"/>
    <w:qFormat/>
    <w:rPr>
      <w:rFonts w:ascii="Calibri" w:hAnsi="Calibri" w:eastAsia="Segoe UI" w:cs="Tahoma"/>
      <w:b/>
      <w:bCs/>
    </w:rPr>
  </w:style>
  <w:style w:type="character" w:styleId="Heading4Char">
    <w:name w:val="Heading 4 Char"/>
    <w:basedOn w:val="DefaultParagraphFont"/>
    <w:link w:val="Heading4"/>
    <w:qFormat/>
    <w:rPr>
      <w:rFonts w:ascii="Calibri" w:hAnsi="Calibri" w:eastAsia="Segoe UI" w:cs="Tahoma"/>
      <w:b/>
      <w:bCs/>
      <w:i/>
      <w:iCs/>
    </w:rPr>
  </w:style>
  <w:style w:type="character" w:styleId="Heading5Char">
    <w:name w:val="Heading 5 Char"/>
    <w:basedOn w:val="DefaultParagraphFont"/>
    <w:link w:val="Heading5"/>
    <w:qFormat/>
    <w:rPr>
      <w:rFonts w:ascii="Calibri" w:hAnsi="Calibri" w:eastAsia="Segoe UI" w:cs="Tahoma"/>
      <w:b/>
      <w:bCs/>
      <w:color w:themeColor="dark1" w:themeTint="80" w:val="7F7F7F"/>
    </w:rPr>
  </w:style>
  <w:style w:type="character" w:styleId="Heading6Char">
    <w:name w:val="Heading 6 Char"/>
    <w:basedOn w:val="DefaultParagraphFont"/>
    <w:link w:val="Heading6"/>
    <w:qFormat/>
    <w:rPr>
      <w:rFonts w:ascii="Calibri" w:hAnsi="Calibri" w:eastAsia="Segoe UI" w:cs="Tahoma"/>
      <w:b/>
      <w:bCs/>
      <w:i/>
      <w:iCs/>
      <w:color w:themeColor="dark1" w:themeTint="80" w:val="7F7F7F"/>
    </w:rPr>
  </w:style>
  <w:style w:type="character" w:styleId="Heading7Char">
    <w:name w:val="Heading 7 Char"/>
    <w:basedOn w:val="DefaultParagraphFont"/>
    <w:link w:val="Heading7"/>
    <w:qFormat/>
    <w:rPr>
      <w:rFonts w:ascii="Calibri" w:hAnsi="Calibri" w:eastAsia="Segoe UI" w:cs="Tahoma"/>
      <w:i/>
      <w:iCs/>
    </w:rPr>
  </w:style>
  <w:style w:type="character" w:styleId="Heading8Char">
    <w:name w:val="Heading 8 Char"/>
    <w:basedOn w:val="DefaultParagraphFont"/>
    <w:link w:val="Heading8"/>
    <w:qFormat/>
    <w:rPr>
      <w:rFonts w:ascii="Calibri" w:hAnsi="Calibri" w:eastAsia="Segoe UI" w:cs="Tahoma"/>
      <w:sz w:val="20"/>
      <w:szCs w:val="20"/>
    </w:rPr>
  </w:style>
  <w:style w:type="character" w:styleId="Heading9Char">
    <w:name w:val="Heading 9 Char"/>
    <w:basedOn w:val="DefaultParagraphFont"/>
    <w:link w:val="Heading9"/>
    <w:qFormat/>
    <w:rPr>
      <w:rFonts w:ascii="Calibri" w:hAnsi="Calibri" w:eastAsia="Segoe UI" w:cs="Tahoma"/>
      <w:i/>
      <w:iCs/>
      <w:spacing w:val="5"/>
      <w:sz w:val="20"/>
      <w:szCs w:val="20"/>
    </w:rPr>
  </w:style>
  <w:style w:type="character" w:styleId="TitleChar">
    <w:name w:val="Title Char"/>
    <w:basedOn w:val="DefaultParagraphFont"/>
    <w:link w:val="Title"/>
    <w:qFormat/>
    <w:rPr>
      <w:rFonts w:ascii="Calibri" w:hAnsi="Calibri" w:eastAsia="Segoe UI" w:cs="Tahoma"/>
      <w:spacing w:val="5"/>
      <w:sz w:val="52"/>
      <w:szCs w:val="52"/>
    </w:rPr>
  </w:style>
  <w:style w:type="character" w:styleId="SubtitleChar">
    <w:name w:val="Subtitle Char"/>
    <w:basedOn w:val="DefaultParagraphFont"/>
    <w:link w:val="Subtitle"/>
    <w:qFormat/>
    <w:rPr>
      <w:rFonts w:ascii="Calibri" w:hAnsi="Calibri" w:eastAsia="Segoe UI" w:cs="Tahoma"/>
      <w:i/>
      <w:iCs/>
      <w:spacing w:val="13"/>
      <w:sz w:val="24"/>
      <w:szCs w:val="24"/>
    </w:rPr>
  </w:style>
  <w:style w:type="character" w:styleId="Strong">
    <w:name w:val="Strong"/>
    <w:qFormat/>
    <w:rPr>
      <w:b/>
      <w:bCs/>
    </w:rPr>
  </w:style>
  <w:style w:type="character" w:styleId="Emphasis">
    <w:name w:val="Emphasis"/>
    <w:qFormat/>
    <w:rPr>
      <w:b/>
      <w:bCs/>
      <w:i/>
      <w:iCs/>
      <w:spacing w:val="10"/>
      <w:shd w:fill="auto" w:val="clear"/>
    </w:rPr>
  </w:style>
  <w:style w:type="character" w:styleId="QuoteChar">
    <w:name w:val="Quote Char"/>
    <w:basedOn w:val="DefaultParagraphFont"/>
    <w:link w:val="Quote"/>
    <w:qFormat/>
    <w:rPr>
      <w:i/>
      <w:iCs/>
    </w:rPr>
  </w:style>
  <w:style w:type="character" w:styleId="IntenseQuoteChar">
    <w:name w:val="Intense Quote Char"/>
    <w:basedOn w:val="DefaultParagraphFont"/>
    <w:link w:val="IntenseQuote"/>
    <w:qFormat/>
    <w:rPr>
      <w:b/>
      <w:bCs/>
      <w:i/>
      <w:iCs/>
    </w:rPr>
  </w:style>
  <w:style w:type="character" w:styleId="SubtleEmphasis">
    <w:name w:val="Subtle Emphasis"/>
    <w:qFormat/>
    <w:rPr>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NoSpacingChar">
    <w:name w:val="No Spacing Char"/>
    <w:basedOn w:val="DefaultParagraphFont"/>
    <w:link w:val="NoSpacing"/>
    <w:qFormat/>
    <w:rPr/>
  </w:style>
  <w:style w:type="character" w:styleId="BalloonTextChar">
    <w:name w:val="Balloon Text Char"/>
    <w:basedOn w:val="DefaultParagraphFont"/>
    <w:link w:val="BalloonText"/>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qFormat/>
    <w:pPr/>
    <w:rPr>
      <w:b/>
      <w:bCs/>
      <w:caps/>
      <w:sz w:val="16"/>
      <w:szCs w:val="18"/>
    </w:rPr>
  </w:style>
  <w:style w:type="paragraph" w:styleId="Index">
    <w:name w:val="Index"/>
    <w:basedOn w:val="Normal"/>
    <w:qFormat/>
    <w:pPr>
      <w:suppressLineNumbers/>
    </w:pPr>
    <w:rPr>
      <w:rFonts w:cs="Lucida Sans"/>
    </w:rPr>
  </w:style>
  <w:style w:type="paragraph" w:styleId="Title">
    <w:name w:val="Title"/>
    <w:basedOn w:val="Normal"/>
    <w:next w:val="Normal"/>
    <w:link w:val="TitleChar"/>
    <w:qFormat/>
    <w:pPr>
      <w:pBdr>
        <w:bottom w:val="single" w:sz="4" w:space="1" w:color="000000"/>
      </w:pBdr>
      <w:spacing w:lineRule="auto" w:line="240" w:before="0" w:after="200"/>
      <w:contextualSpacing/>
    </w:pPr>
    <w:rPr>
      <w:rFonts w:ascii="Calibri" w:hAnsi="Calibri" w:eastAsia="Segoe UI" w:cs="Tahoma"/>
      <w:spacing w:val="5"/>
      <w:sz w:val="52"/>
      <w:szCs w:val="52"/>
    </w:rPr>
  </w:style>
  <w:style w:type="paragraph" w:styleId="Subtitle">
    <w:name w:val="Subtitle"/>
    <w:basedOn w:val="Normal"/>
    <w:next w:val="Normal"/>
    <w:link w:val="SubtitleChar"/>
    <w:qFormat/>
    <w:pPr>
      <w:spacing w:before="0" w:after="600"/>
    </w:pPr>
    <w:rPr>
      <w:rFonts w:ascii="Calibri" w:hAnsi="Calibri" w:eastAsia="Segoe UI" w:cs="Tahoma"/>
      <w:i/>
      <w:iCs/>
      <w:spacing w:val="13"/>
      <w:sz w:val="24"/>
      <w:szCs w:val="24"/>
    </w:rPr>
  </w:style>
  <w:style w:type="paragraph" w:styleId="NoSpacing">
    <w:name w:val="No Spacing"/>
    <w:basedOn w:val="Normal"/>
    <w:link w:val="NoSpacingChar"/>
    <w:qFormat/>
    <w:pPr>
      <w:spacing w:lineRule="auto" w:line="240" w:before="0" w:after="0"/>
    </w:pPr>
    <w:rPr/>
  </w:style>
  <w:style w:type="paragraph" w:styleId="ListParagraph">
    <w:name w:val="List Paragraph"/>
    <w:basedOn w:val="Normal"/>
    <w:qFormat/>
    <w:pPr>
      <w:spacing w:before="0" w:after="200"/>
      <w:ind w:start="720"/>
      <w:contextualSpacing/>
    </w:pPr>
    <w:rPr/>
  </w:style>
  <w:style w:type="paragraph" w:styleId="Quote">
    <w:name w:val="Quote"/>
    <w:basedOn w:val="Normal"/>
    <w:next w:val="Normal"/>
    <w:link w:val="QuoteChar"/>
    <w:qFormat/>
    <w:pPr>
      <w:spacing w:before="200" w:after="0"/>
      <w:ind w:start="360" w:end="360"/>
    </w:pPr>
    <w:rPr>
      <w:i/>
      <w:iCs/>
    </w:rPr>
  </w:style>
  <w:style w:type="paragraph" w:styleId="IntenseQuote">
    <w:name w:val="Intense Quote"/>
    <w:basedOn w:val="Normal"/>
    <w:next w:val="Normal"/>
    <w:link w:val="IntenseQuoteChar"/>
    <w:qFormat/>
    <w:pPr>
      <w:pBdr>
        <w:bottom w:val="single" w:sz="4" w:space="1" w:color="000000"/>
      </w:pBdr>
      <w:spacing w:before="200" w:after="280"/>
      <w:ind w:start="1008" w:end="1152"/>
      <w:jc w:val="both"/>
    </w:pPr>
    <w:rPr>
      <w:b/>
      <w:bCs/>
      <w:i/>
      <w:iCs/>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LibreOffice/25.8.1.1$Windows_X86_64 LibreOffice_project/54047653041915e595ad4e45cccea684809c77b5</Application>
  <AppVersion>15.0000</AppVersion>
  <Pages>2</Pages>
  <Words>396</Words>
  <Characters>2096</Characters>
  <CharactersWithSpaces>3433</CharactersWithSpaces>
  <Paragraphs>31</Paragraphs>
  <Compan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2022-11-28T15:47:00Z</dcterms:created>
  <dc:creator>David Rogers</dc:creator>
  <dc:description/>
  <dc:language>en-US</dc:language>
  <cp:lastModifiedBy/>
  <cp:lastPrinted>2025-09-26T12:50:57Z</cp:lastPrinted>
  <dcterms:modified xsi:type="dcterms:W3CDTF">2025-09-26T12:50:48Z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